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63B34" w:rsidRPr="005D1B1E" w:rsidP="005D1B1E" w14:paraId="161853C5" w14:textId="18B64BAE">
      <w:pPr>
        <w:spacing w:line="480" w:lineRule="auto"/>
        <w:rPr>
          <w:rFonts w:ascii="Times New Roman" w:hAnsi="Times New Roman" w:cs="Times New Roman"/>
          <w:color w:val="1D1D1D"/>
          <w:sz w:val="24"/>
          <w:szCs w:val="24"/>
          <w:shd w:val="clear" w:color="auto" w:fill="FFFFFF"/>
        </w:rPr>
      </w:pPr>
    </w:p>
    <w:p w:rsidR="005D1B1E" w:rsidRPr="005D1B1E" w:rsidP="005D1B1E" w14:paraId="24821A85" w14:textId="2E401EA8">
      <w:pPr>
        <w:spacing w:line="480" w:lineRule="auto"/>
        <w:rPr>
          <w:rFonts w:ascii="Times New Roman" w:hAnsi="Times New Roman" w:cs="Times New Roman"/>
          <w:color w:val="1D1D1D"/>
          <w:sz w:val="24"/>
          <w:szCs w:val="24"/>
          <w:shd w:val="clear" w:color="auto" w:fill="FFFFFF"/>
        </w:rPr>
      </w:pPr>
    </w:p>
    <w:p w:rsidR="005D1B1E" w:rsidRPr="005D1B1E" w:rsidP="005D1B1E" w14:paraId="6CE4F1AA" w14:textId="2617F069">
      <w:pPr>
        <w:spacing w:line="480" w:lineRule="auto"/>
        <w:rPr>
          <w:rFonts w:ascii="Times New Roman" w:hAnsi="Times New Roman" w:cs="Times New Roman"/>
          <w:color w:val="1D1D1D"/>
          <w:sz w:val="24"/>
          <w:szCs w:val="24"/>
          <w:shd w:val="clear" w:color="auto" w:fill="FFFFFF"/>
        </w:rPr>
      </w:pPr>
    </w:p>
    <w:p w:rsidR="005D1B1E" w:rsidRPr="005D1B1E" w:rsidP="005D1B1E" w14:paraId="0C140270" w14:textId="77777777">
      <w:pPr>
        <w:spacing w:line="480" w:lineRule="auto"/>
        <w:jc w:val="center"/>
        <w:rPr>
          <w:rFonts w:ascii="Times New Roman" w:hAnsi="Times New Roman" w:cs="Times New Roman"/>
          <w:sz w:val="24"/>
          <w:szCs w:val="24"/>
        </w:rPr>
      </w:pPr>
      <w:r w:rsidRPr="005D1B1E">
        <w:rPr>
          <w:rFonts w:ascii="Times New Roman" w:hAnsi="Times New Roman" w:cs="Times New Roman"/>
          <w:sz w:val="24"/>
          <w:szCs w:val="24"/>
        </w:rPr>
        <w:t>Student’s Name:</w:t>
      </w:r>
    </w:p>
    <w:p w:rsidR="005D1B1E" w:rsidRPr="005D1B1E" w:rsidP="005D1B1E" w14:paraId="76AE4825" w14:textId="77777777">
      <w:pPr>
        <w:spacing w:line="480" w:lineRule="auto"/>
        <w:jc w:val="center"/>
        <w:rPr>
          <w:rFonts w:ascii="Times New Roman" w:hAnsi="Times New Roman" w:cs="Times New Roman"/>
          <w:sz w:val="24"/>
          <w:szCs w:val="24"/>
        </w:rPr>
      </w:pPr>
      <w:r w:rsidRPr="005D1B1E">
        <w:rPr>
          <w:rFonts w:ascii="Times New Roman" w:hAnsi="Times New Roman" w:cs="Times New Roman"/>
          <w:sz w:val="24"/>
          <w:szCs w:val="24"/>
        </w:rPr>
        <w:t>Department:</w:t>
      </w:r>
    </w:p>
    <w:p w:rsidR="005D1B1E" w:rsidRPr="005D1B1E" w:rsidP="005D1B1E" w14:paraId="17129BE5" w14:textId="77777777">
      <w:pPr>
        <w:spacing w:line="480" w:lineRule="auto"/>
        <w:jc w:val="center"/>
        <w:rPr>
          <w:rFonts w:ascii="Times New Roman" w:hAnsi="Times New Roman" w:cs="Times New Roman"/>
          <w:sz w:val="24"/>
          <w:szCs w:val="24"/>
        </w:rPr>
      </w:pPr>
      <w:r w:rsidRPr="005D1B1E">
        <w:rPr>
          <w:rFonts w:ascii="Times New Roman" w:hAnsi="Times New Roman" w:cs="Times New Roman"/>
          <w:sz w:val="24"/>
          <w:szCs w:val="24"/>
        </w:rPr>
        <w:t>Institution of affiliation:</w:t>
      </w:r>
    </w:p>
    <w:p w:rsidR="005D1B1E" w:rsidRPr="005D1B1E" w:rsidP="005D1B1E" w14:paraId="3FF35BC2" w14:textId="77777777">
      <w:pPr>
        <w:spacing w:line="480" w:lineRule="auto"/>
        <w:jc w:val="center"/>
        <w:rPr>
          <w:rFonts w:ascii="Times New Roman" w:hAnsi="Times New Roman" w:cs="Times New Roman"/>
          <w:sz w:val="24"/>
          <w:szCs w:val="24"/>
        </w:rPr>
      </w:pPr>
      <w:r w:rsidRPr="005D1B1E">
        <w:rPr>
          <w:rFonts w:ascii="Times New Roman" w:hAnsi="Times New Roman" w:cs="Times New Roman"/>
          <w:sz w:val="24"/>
          <w:szCs w:val="24"/>
        </w:rPr>
        <w:t>Course name:</w:t>
      </w:r>
    </w:p>
    <w:p w:rsidR="005D1B1E" w:rsidRPr="005D1B1E" w:rsidP="005D1B1E" w14:paraId="76140AD3" w14:textId="77777777">
      <w:pPr>
        <w:spacing w:line="480" w:lineRule="auto"/>
        <w:jc w:val="center"/>
        <w:rPr>
          <w:rFonts w:ascii="Times New Roman" w:hAnsi="Times New Roman" w:cs="Times New Roman"/>
          <w:sz w:val="24"/>
          <w:szCs w:val="24"/>
        </w:rPr>
      </w:pPr>
      <w:r w:rsidRPr="005D1B1E">
        <w:rPr>
          <w:rFonts w:ascii="Times New Roman" w:hAnsi="Times New Roman" w:cs="Times New Roman"/>
          <w:sz w:val="24"/>
          <w:szCs w:val="24"/>
        </w:rPr>
        <w:t>Professor’s name:</w:t>
      </w:r>
    </w:p>
    <w:p w:rsidR="005D1B1E" w:rsidRPr="005D1B1E" w:rsidP="005D1B1E" w14:paraId="79F02953" w14:textId="0D6E4BEB">
      <w:pPr>
        <w:spacing w:line="480" w:lineRule="auto"/>
        <w:jc w:val="center"/>
        <w:rPr>
          <w:rFonts w:ascii="Times New Roman" w:hAnsi="Times New Roman" w:cs="Times New Roman"/>
          <w:sz w:val="24"/>
          <w:szCs w:val="24"/>
        </w:rPr>
      </w:pPr>
      <w:r w:rsidRPr="005D1B1E">
        <w:rPr>
          <w:rFonts w:ascii="Times New Roman" w:hAnsi="Times New Roman" w:cs="Times New Roman"/>
          <w:sz w:val="24"/>
          <w:szCs w:val="24"/>
        </w:rPr>
        <w:t>Date:</w:t>
      </w:r>
    </w:p>
    <w:p w:rsidR="005D1B1E" w:rsidRPr="005D1B1E" w:rsidP="005D1B1E" w14:paraId="5B632619" w14:textId="77777777">
      <w:pPr>
        <w:spacing w:line="480" w:lineRule="auto"/>
        <w:jc w:val="center"/>
        <w:rPr>
          <w:rFonts w:ascii="Times New Roman" w:hAnsi="Times New Roman" w:cs="Times New Roman"/>
          <w:sz w:val="24"/>
          <w:szCs w:val="24"/>
        </w:rPr>
      </w:pPr>
    </w:p>
    <w:p w:rsidR="005D1B1E" w:rsidRPr="005D1B1E" w:rsidP="005D1B1E" w14:paraId="7F6EA41D" w14:textId="529AE0AC">
      <w:pPr>
        <w:spacing w:line="480" w:lineRule="auto"/>
        <w:rPr>
          <w:rFonts w:ascii="Times New Roman" w:hAnsi="Times New Roman" w:cs="Times New Roman"/>
          <w:color w:val="1D1D1D"/>
          <w:sz w:val="24"/>
          <w:szCs w:val="24"/>
          <w:shd w:val="clear" w:color="auto" w:fill="FFFFFF"/>
        </w:rPr>
      </w:pPr>
    </w:p>
    <w:p w:rsidR="005D1B1E" w:rsidRPr="005D1B1E" w:rsidP="005D1B1E" w14:paraId="1AAA154E" w14:textId="0A001D9E">
      <w:pPr>
        <w:spacing w:line="480" w:lineRule="auto"/>
        <w:rPr>
          <w:rFonts w:ascii="Times New Roman" w:hAnsi="Times New Roman" w:cs="Times New Roman"/>
          <w:color w:val="1D1D1D"/>
          <w:sz w:val="24"/>
          <w:szCs w:val="24"/>
          <w:shd w:val="clear" w:color="auto" w:fill="FFFFFF"/>
        </w:rPr>
      </w:pPr>
    </w:p>
    <w:p w:rsidR="005D1B1E" w:rsidRPr="005D1B1E" w:rsidP="005D1B1E" w14:paraId="417CE66D" w14:textId="6FA0CDFE">
      <w:pPr>
        <w:spacing w:line="480" w:lineRule="auto"/>
        <w:rPr>
          <w:rFonts w:ascii="Times New Roman" w:hAnsi="Times New Roman" w:cs="Times New Roman"/>
          <w:color w:val="1D1D1D"/>
          <w:sz w:val="24"/>
          <w:szCs w:val="24"/>
          <w:shd w:val="clear" w:color="auto" w:fill="FFFFFF"/>
        </w:rPr>
      </w:pPr>
    </w:p>
    <w:p w:rsidR="005D1B1E" w:rsidRPr="005D1B1E" w:rsidP="005D1B1E" w14:paraId="070B86C8" w14:textId="603E63B9">
      <w:pPr>
        <w:spacing w:line="480" w:lineRule="auto"/>
        <w:rPr>
          <w:rFonts w:ascii="Times New Roman" w:hAnsi="Times New Roman" w:cs="Times New Roman"/>
          <w:color w:val="1D1D1D"/>
          <w:sz w:val="24"/>
          <w:szCs w:val="24"/>
          <w:shd w:val="clear" w:color="auto" w:fill="FFFFFF"/>
        </w:rPr>
      </w:pPr>
    </w:p>
    <w:p w:rsidR="005D1B1E" w:rsidRPr="005D1B1E" w:rsidP="005D1B1E" w14:paraId="54848B78" w14:textId="7BE75D92">
      <w:pPr>
        <w:spacing w:line="480" w:lineRule="auto"/>
        <w:rPr>
          <w:rFonts w:ascii="Times New Roman" w:hAnsi="Times New Roman" w:cs="Times New Roman"/>
          <w:color w:val="1D1D1D"/>
          <w:sz w:val="24"/>
          <w:szCs w:val="24"/>
          <w:shd w:val="clear" w:color="auto" w:fill="FFFFFF"/>
        </w:rPr>
      </w:pPr>
    </w:p>
    <w:p w:rsidR="005D1B1E" w:rsidRPr="005D1B1E" w:rsidP="005D1B1E" w14:paraId="75FDA837" w14:textId="1F2B41B0">
      <w:pPr>
        <w:spacing w:line="480" w:lineRule="auto"/>
        <w:rPr>
          <w:rFonts w:ascii="Times New Roman" w:hAnsi="Times New Roman" w:cs="Times New Roman"/>
          <w:color w:val="1D1D1D"/>
          <w:sz w:val="24"/>
          <w:szCs w:val="24"/>
          <w:shd w:val="clear" w:color="auto" w:fill="FFFFFF"/>
        </w:rPr>
      </w:pPr>
    </w:p>
    <w:p w:rsidR="005D1B1E" w:rsidP="005D1B1E" w14:paraId="6D6C976A" w14:textId="5B0529C2">
      <w:pPr>
        <w:spacing w:line="480" w:lineRule="auto"/>
        <w:rPr>
          <w:rFonts w:ascii="Times New Roman" w:hAnsi="Times New Roman" w:cs="Times New Roman"/>
          <w:color w:val="1D1D1D"/>
          <w:sz w:val="24"/>
          <w:szCs w:val="24"/>
          <w:shd w:val="clear" w:color="auto" w:fill="FFFFFF"/>
        </w:rPr>
      </w:pPr>
    </w:p>
    <w:p w:rsidR="005D1B1E" w:rsidRPr="005D1B1E" w:rsidP="005D1B1E" w14:paraId="701FE385" w14:textId="77777777">
      <w:pPr>
        <w:spacing w:line="480" w:lineRule="auto"/>
        <w:rPr>
          <w:rFonts w:ascii="Times New Roman" w:hAnsi="Times New Roman" w:cs="Times New Roman"/>
          <w:color w:val="1D1D1D"/>
          <w:sz w:val="24"/>
          <w:szCs w:val="24"/>
          <w:shd w:val="clear" w:color="auto" w:fill="FFFFFF"/>
        </w:rPr>
      </w:pPr>
    </w:p>
    <w:p w:rsidR="005D1B1E" w:rsidRPr="005D1B1E" w:rsidP="005D1B1E" w14:paraId="78ED8F1B" w14:textId="0875E368">
      <w:pPr>
        <w:spacing w:line="480" w:lineRule="auto"/>
        <w:jc w:val="center"/>
        <w:rPr>
          <w:rFonts w:ascii="Times New Roman" w:hAnsi="Times New Roman" w:cs="Times New Roman"/>
          <w:b/>
          <w:bCs/>
          <w:color w:val="1D1D1D"/>
          <w:sz w:val="24"/>
          <w:szCs w:val="24"/>
          <w:shd w:val="clear" w:color="auto" w:fill="FFFFFF"/>
        </w:rPr>
      </w:pPr>
      <w:r w:rsidRPr="005D1B1E">
        <w:rPr>
          <w:rFonts w:ascii="Times New Roman" w:hAnsi="Times New Roman" w:cs="Times New Roman"/>
          <w:b/>
          <w:bCs/>
          <w:color w:val="1D1D1D"/>
          <w:sz w:val="24"/>
          <w:szCs w:val="24"/>
          <w:shd w:val="clear" w:color="auto" w:fill="FFFFFF"/>
        </w:rPr>
        <w:t>Criminal conspiracy</w:t>
      </w:r>
    </w:p>
    <w:p w:rsidR="00263B34" w:rsidRPr="005D1B1E" w:rsidP="005D1B1E" w14:paraId="4F337AE7" w14:textId="32A917FB">
      <w:pPr>
        <w:spacing w:line="480" w:lineRule="auto"/>
        <w:ind w:firstLine="720"/>
        <w:rPr>
          <w:rFonts w:ascii="Times New Roman" w:hAnsi="Times New Roman" w:cs="Times New Roman"/>
          <w:color w:val="1D1D1D"/>
          <w:sz w:val="24"/>
          <w:szCs w:val="24"/>
          <w:shd w:val="clear" w:color="auto" w:fill="FFFFFF"/>
        </w:rPr>
      </w:pPr>
      <w:r w:rsidRPr="005D1B1E">
        <w:rPr>
          <w:rFonts w:ascii="Times New Roman" w:hAnsi="Times New Roman" w:cs="Times New Roman"/>
          <w:color w:val="1D1D1D"/>
          <w:sz w:val="24"/>
          <w:szCs w:val="24"/>
          <w:shd w:val="clear" w:color="auto" w:fill="FFFFFF"/>
        </w:rPr>
        <w:t>Criminal conspiracy is when two or more people agree and plan to commit a crime and take active steps to pursue the crime. Criminal conspiracy can also be described as an inchoate crime</w:t>
      </w:r>
      <w:r w:rsidRPr="005D1B1E" w:rsidR="00A06327">
        <w:rPr>
          <w:rFonts w:ascii="Times New Roman" w:hAnsi="Times New Roman" w:cs="Times New Roman"/>
          <w:color w:val="1D1D1D"/>
          <w:sz w:val="24"/>
          <w:szCs w:val="24"/>
          <w:shd w:val="clear" w:color="auto" w:fill="FFFFFF"/>
        </w:rPr>
        <w:t xml:space="preserve"> because involved parties can be convicted in court even if they did not carry out the planned activities.  Convict persons of criminal conspiracy can be charged with both the conspiracy and the crime itself if they proceed with the planned crime.</w:t>
      </w:r>
      <w:r w:rsidRPr="005D1B1E" w:rsidR="00CA5CC5">
        <w:rPr>
          <w:rFonts w:ascii="Times New Roman" w:hAnsi="Times New Roman" w:cs="Times New Roman"/>
          <w:color w:val="1D1D1D"/>
          <w:sz w:val="24"/>
          <w:szCs w:val="24"/>
          <w:shd w:val="clear" w:color="auto" w:fill="FFFFFF"/>
        </w:rPr>
        <w:t xml:space="preserve"> </w:t>
      </w:r>
    </w:p>
    <w:p w:rsidR="00CA5CC5" w:rsidRPr="005D1B1E" w:rsidP="005D1B1E" w14:paraId="1C09CC41" w14:textId="04B92660">
      <w:pPr>
        <w:spacing w:line="480" w:lineRule="auto"/>
        <w:ind w:firstLine="720"/>
        <w:rPr>
          <w:rFonts w:ascii="Times New Roman" w:hAnsi="Times New Roman" w:cs="Times New Roman"/>
          <w:color w:val="1D1D1D"/>
          <w:sz w:val="24"/>
          <w:szCs w:val="24"/>
          <w:shd w:val="clear" w:color="auto" w:fill="FFFFFF"/>
        </w:rPr>
      </w:pPr>
      <w:r w:rsidRPr="005D1B1E">
        <w:rPr>
          <w:rFonts w:ascii="Times New Roman" w:hAnsi="Times New Roman" w:cs="Times New Roman"/>
          <w:color w:val="1D1D1D"/>
          <w:sz w:val="24"/>
          <w:szCs w:val="24"/>
          <w:shd w:val="clear" w:color="auto" w:fill="FFFFFF"/>
        </w:rPr>
        <w:t>Some elements must be available for an action</w:t>
      </w:r>
      <w:r w:rsidRPr="005D1B1E" w:rsidR="00FA25DF">
        <w:rPr>
          <w:rFonts w:ascii="Times New Roman" w:hAnsi="Times New Roman" w:cs="Times New Roman"/>
          <w:color w:val="1D1D1D"/>
          <w:sz w:val="24"/>
          <w:szCs w:val="24"/>
          <w:shd w:val="clear" w:color="auto" w:fill="FFFFFF"/>
        </w:rPr>
        <w:t xml:space="preserve"> or an idea</w:t>
      </w:r>
      <w:r w:rsidRPr="005D1B1E">
        <w:rPr>
          <w:rFonts w:ascii="Times New Roman" w:hAnsi="Times New Roman" w:cs="Times New Roman"/>
          <w:color w:val="1D1D1D"/>
          <w:sz w:val="24"/>
          <w:szCs w:val="24"/>
          <w:shd w:val="clear" w:color="auto" w:fill="FFFFFF"/>
        </w:rPr>
        <w:t xml:space="preserve"> to be proven in the court to convict persons involved in the conspiracy</w:t>
      </w:r>
      <w:r w:rsidRPr="005D1B1E" w:rsidR="009364F7">
        <w:rPr>
          <w:rFonts w:ascii="Times New Roman" w:hAnsi="Times New Roman" w:cs="Times New Roman"/>
          <w:color w:val="222222"/>
          <w:sz w:val="24"/>
          <w:szCs w:val="24"/>
          <w:shd w:val="clear" w:color="auto" w:fill="FFFFFF"/>
        </w:rPr>
        <w:t xml:space="preserve"> (</w:t>
      </w:r>
      <w:r w:rsidRPr="005D1B1E" w:rsidR="009364F7">
        <w:rPr>
          <w:rFonts w:ascii="Times New Roman" w:hAnsi="Times New Roman" w:cs="Times New Roman"/>
          <w:color w:val="222222"/>
          <w:sz w:val="24"/>
          <w:szCs w:val="24"/>
          <w:shd w:val="clear" w:color="auto" w:fill="FFFFFF"/>
        </w:rPr>
        <w:t>Van der Wilt, 2007)</w:t>
      </w:r>
      <w:r w:rsidRPr="005D1B1E">
        <w:rPr>
          <w:rFonts w:ascii="Times New Roman" w:hAnsi="Times New Roman" w:cs="Times New Roman"/>
          <w:color w:val="1D1D1D"/>
          <w:sz w:val="24"/>
          <w:szCs w:val="24"/>
          <w:shd w:val="clear" w:color="auto" w:fill="FFFFFF"/>
        </w:rPr>
        <w:t>.</w:t>
      </w:r>
      <w:r w:rsidRPr="005D1B1E" w:rsidR="00FA25DF">
        <w:rPr>
          <w:rFonts w:ascii="Times New Roman" w:hAnsi="Times New Roman" w:cs="Times New Roman"/>
          <w:color w:val="1D1D1D"/>
          <w:sz w:val="24"/>
          <w:szCs w:val="24"/>
          <w:shd w:val="clear" w:color="auto" w:fill="FFFFFF"/>
        </w:rPr>
        <w:t xml:space="preserve"> This means that conspirators can be convicted even if the crime itself did not occur.</w:t>
      </w:r>
      <w:r w:rsidRPr="005D1B1E">
        <w:rPr>
          <w:rFonts w:ascii="Times New Roman" w:hAnsi="Times New Roman" w:cs="Times New Roman"/>
          <w:color w:val="1D1D1D"/>
          <w:sz w:val="24"/>
          <w:szCs w:val="24"/>
          <w:shd w:val="clear" w:color="auto" w:fill="FFFFFF"/>
        </w:rPr>
        <w:t xml:space="preserve"> The</w:t>
      </w:r>
      <w:r w:rsidRPr="005D1B1E" w:rsidR="00FA25DF">
        <w:rPr>
          <w:rFonts w:ascii="Times New Roman" w:hAnsi="Times New Roman" w:cs="Times New Roman"/>
          <w:color w:val="1D1D1D"/>
          <w:sz w:val="24"/>
          <w:szCs w:val="24"/>
          <w:shd w:val="clear" w:color="auto" w:fill="FFFFFF"/>
        </w:rPr>
        <w:t>se elements include;</w:t>
      </w:r>
      <w:r w:rsidRPr="005D1B1E">
        <w:rPr>
          <w:rFonts w:ascii="Times New Roman" w:hAnsi="Times New Roman" w:cs="Times New Roman"/>
          <w:color w:val="1D1D1D"/>
          <w:sz w:val="24"/>
          <w:szCs w:val="24"/>
          <w:shd w:val="clear" w:color="auto" w:fill="FFFFFF"/>
        </w:rPr>
        <w:t xml:space="preserve"> shows</w:t>
      </w:r>
      <w:r w:rsidRPr="005D1B1E" w:rsidR="00FA25DF">
        <w:rPr>
          <w:rFonts w:ascii="Times New Roman" w:hAnsi="Times New Roman" w:cs="Times New Roman"/>
          <w:color w:val="1D1D1D"/>
          <w:sz w:val="24"/>
          <w:szCs w:val="24"/>
          <w:shd w:val="clear" w:color="auto" w:fill="FFFFFF"/>
        </w:rPr>
        <w:t xml:space="preserve"> that</w:t>
      </w:r>
      <w:r w:rsidRPr="005D1B1E">
        <w:rPr>
          <w:rFonts w:ascii="Times New Roman" w:hAnsi="Times New Roman" w:cs="Times New Roman"/>
          <w:color w:val="1D1D1D"/>
          <w:sz w:val="24"/>
          <w:szCs w:val="24"/>
          <w:shd w:val="clear" w:color="auto" w:fill="FFFFFF"/>
        </w:rPr>
        <w:t xml:space="preserve"> the involved parties were in agreement to </w:t>
      </w:r>
      <w:r w:rsidRPr="005D1B1E" w:rsidR="008B499A">
        <w:rPr>
          <w:rFonts w:ascii="Times New Roman" w:hAnsi="Times New Roman" w:cs="Times New Roman"/>
          <w:color w:val="1D1D1D"/>
          <w:sz w:val="24"/>
          <w:szCs w:val="24"/>
          <w:shd w:val="clear" w:color="auto" w:fill="FFFFFF"/>
        </w:rPr>
        <w:t>commit</w:t>
      </w:r>
      <w:r w:rsidRPr="005D1B1E">
        <w:rPr>
          <w:rFonts w:ascii="Times New Roman" w:hAnsi="Times New Roman" w:cs="Times New Roman"/>
          <w:color w:val="1D1D1D"/>
          <w:sz w:val="24"/>
          <w:szCs w:val="24"/>
          <w:shd w:val="clear" w:color="auto" w:fill="FFFFFF"/>
        </w:rPr>
        <w:t xml:space="preserve"> the crime. </w:t>
      </w:r>
      <w:r w:rsidRPr="005D1B1E" w:rsidR="008B499A">
        <w:rPr>
          <w:rFonts w:ascii="Times New Roman" w:hAnsi="Times New Roman" w:cs="Times New Roman"/>
          <w:color w:val="1D1D1D"/>
          <w:sz w:val="24"/>
          <w:szCs w:val="24"/>
          <w:shd w:val="clear" w:color="auto" w:fill="FFFFFF"/>
        </w:rPr>
        <w:t>Required e</w:t>
      </w:r>
      <w:r w:rsidRPr="005D1B1E">
        <w:rPr>
          <w:rFonts w:ascii="Times New Roman" w:hAnsi="Times New Roman" w:cs="Times New Roman"/>
          <w:color w:val="1D1D1D"/>
          <w:sz w:val="24"/>
          <w:szCs w:val="24"/>
          <w:shd w:val="clear" w:color="auto" w:fill="FFFFFF"/>
        </w:rPr>
        <w:t>vidence is not necessary for writing or formal but shows that the parties had a mutual understanding t</w:t>
      </w:r>
      <w:r w:rsidRPr="005D1B1E" w:rsidR="008B499A">
        <w:rPr>
          <w:rFonts w:ascii="Times New Roman" w:hAnsi="Times New Roman" w:cs="Times New Roman"/>
          <w:color w:val="1D1D1D"/>
          <w:sz w:val="24"/>
          <w:szCs w:val="24"/>
          <w:shd w:val="clear" w:color="auto" w:fill="FFFFFF"/>
        </w:rPr>
        <w:t>o do an unlawful act. Secondly, all the parties involved must have specific intent to commit the objective of the conspiracy. Involved parties must be aware that they are participating or conspiring to do an unlawful act. The final element is "overt act", which is a mere step taken to further</w:t>
      </w:r>
      <w:r w:rsidRPr="005D1B1E" w:rsidR="008A2A6D">
        <w:rPr>
          <w:rFonts w:ascii="Times New Roman" w:hAnsi="Times New Roman" w:cs="Times New Roman"/>
          <w:color w:val="1D1D1D"/>
          <w:sz w:val="24"/>
          <w:szCs w:val="24"/>
          <w:shd w:val="clear" w:color="auto" w:fill="FFFFFF"/>
        </w:rPr>
        <w:t xml:space="preserve"> the criminal objective. The act only counts when it is carried out after conspiracy but not before. Such acts might include holding a meeting to plan or buying things used in the criminal act.</w:t>
      </w:r>
    </w:p>
    <w:p w:rsidR="008A2A6D" w:rsidRPr="005D1B1E" w:rsidP="005D1B1E" w14:paraId="3C448266" w14:textId="0BEFE026">
      <w:pPr>
        <w:spacing w:line="480" w:lineRule="auto"/>
        <w:ind w:firstLine="720"/>
        <w:rPr>
          <w:rFonts w:ascii="Times New Roman" w:hAnsi="Times New Roman" w:cs="Times New Roman"/>
          <w:color w:val="1D1D1D"/>
          <w:sz w:val="24"/>
          <w:szCs w:val="24"/>
          <w:shd w:val="clear" w:color="auto" w:fill="FFFFFF"/>
        </w:rPr>
      </w:pPr>
      <w:r w:rsidRPr="005D1B1E">
        <w:rPr>
          <w:rFonts w:ascii="Times New Roman" w:hAnsi="Times New Roman" w:cs="Times New Roman"/>
          <w:color w:val="1D1D1D"/>
          <w:sz w:val="24"/>
          <w:szCs w:val="24"/>
          <w:shd w:val="clear" w:color="auto" w:fill="FFFFFF"/>
        </w:rPr>
        <w:t>Defendants charged with conspiracy can also defend themselves in the court of law in case of abandonment or withdrawal</w:t>
      </w:r>
      <w:r w:rsidRPr="005D1B1E" w:rsidR="009364F7">
        <w:rPr>
          <w:rFonts w:ascii="Times New Roman" w:hAnsi="Times New Roman" w:cs="Times New Roman"/>
          <w:color w:val="222222"/>
          <w:sz w:val="24"/>
          <w:szCs w:val="24"/>
          <w:shd w:val="clear" w:color="auto" w:fill="FFFFFF"/>
        </w:rPr>
        <w:t xml:space="preserve"> </w:t>
      </w:r>
      <w:r w:rsidRPr="005D1B1E" w:rsidR="005D1B1E">
        <w:rPr>
          <w:rFonts w:ascii="Times New Roman" w:hAnsi="Times New Roman" w:cs="Times New Roman"/>
          <w:color w:val="222222"/>
          <w:sz w:val="24"/>
          <w:szCs w:val="24"/>
          <w:shd w:val="clear" w:color="auto" w:fill="FFFFFF"/>
        </w:rPr>
        <w:t>(</w:t>
      </w:r>
      <w:r w:rsidRPr="005D1B1E" w:rsidR="009364F7">
        <w:rPr>
          <w:rFonts w:ascii="Times New Roman" w:hAnsi="Times New Roman" w:cs="Times New Roman"/>
          <w:color w:val="222222"/>
          <w:sz w:val="24"/>
          <w:szCs w:val="24"/>
          <w:shd w:val="clear" w:color="auto" w:fill="FFFFFF"/>
        </w:rPr>
        <w:t>Diener &amp; Johnson, 2005)</w:t>
      </w:r>
      <w:r w:rsidRPr="005D1B1E">
        <w:rPr>
          <w:rFonts w:ascii="Times New Roman" w:hAnsi="Times New Roman" w:cs="Times New Roman"/>
          <w:color w:val="1D1D1D"/>
          <w:sz w:val="24"/>
          <w:szCs w:val="24"/>
          <w:shd w:val="clear" w:color="auto" w:fill="FFFFFF"/>
        </w:rPr>
        <w:t xml:space="preserve">. In such a case, the defendant can only be considered if there is evidence to prove that he had affirmatively communicated to withdraw to his co-conspirators and took an active part to show that they </w:t>
      </w:r>
      <w:r w:rsidRPr="005D1B1E" w:rsidR="00D4492E">
        <w:rPr>
          <w:rFonts w:ascii="Times New Roman" w:hAnsi="Times New Roman" w:cs="Times New Roman"/>
          <w:color w:val="1D1D1D"/>
          <w:sz w:val="24"/>
          <w:szCs w:val="24"/>
          <w:shd w:val="clear" w:color="auto" w:fill="FFFFFF"/>
        </w:rPr>
        <w:t>meant</w:t>
      </w:r>
      <w:r w:rsidRPr="005D1B1E">
        <w:rPr>
          <w:rFonts w:ascii="Times New Roman" w:hAnsi="Times New Roman" w:cs="Times New Roman"/>
          <w:color w:val="1D1D1D"/>
          <w:sz w:val="24"/>
          <w:szCs w:val="24"/>
          <w:shd w:val="clear" w:color="auto" w:fill="FFFFFF"/>
        </w:rPr>
        <w:t xml:space="preserve"> what they communicated. The defendant must have </w:t>
      </w:r>
      <w:r w:rsidRPr="005D1B1E" w:rsidR="00D4492E">
        <w:rPr>
          <w:rFonts w:ascii="Times New Roman" w:hAnsi="Times New Roman" w:cs="Times New Roman"/>
          <w:color w:val="1D1D1D"/>
          <w:sz w:val="24"/>
          <w:szCs w:val="24"/>
          <w:shd w:val="clear" w:color="auto" w:fill="FFFFFF"/>
        </w:rPr>
        <w:t>withdrawn</w:t>
      </w:r>
      <w:r w:rsidRPr="005D1B1E">
        <w:rPr>
          <w:rFonts w:ascii="Times New Roman" w:hAnsi="Times New Roman" w:cs="Times New Roman"/>
          <w:color w:val="1D1D1D"/>
          <w:sz w:val="24"/>
          <w:szCs w:val="24"/>
          <w:shd w:val="clear" w:color="auto" w:fill="FFFFFF"/>
        </w:rPr>
        <w:t xml:space="preserve"> before the </w:t>
      </w:r>
      <w:r w:rsidRPr="005D1B1E" w:rsidR="00D4492E">
        <w:rPr>
          <w:rFonts w:ascii="Times New Roman" w:hAnsi="Times New Roman" w:cs="Times New Roman"/>
          <w:color w:val="1D1D1D"/>
          <w:sz w:val="24"/>
          <w:szCs w:val="24"/>
          <w:shd w:val="clear" w:color="auto" w:fill="FFFFFF"/>
        </w:rPr>
        <w:t xml:space="preserve">conspired crime took place, and he must have cut off any form of communication with the group. The defendant can also be listened to in case of entrapment. </w:t>
      </w:r>
      <w:r w:rsidRPr="005D1B1E" w:rsidR="00D4492E">
        <w:rPr>
          <w:rFonts w:ascii="Times New Roman" w:hAnsi="Times New Roman" w:cs="Times New Roman"/>
          <w:color w:val="1D1D1D"/>
          <w:sz w:val="24"/>
          <w:szCs w:val="24"/>
          <w:shd w:val="clear" w:color="auto" w:fill="FFFFFF"/>
        </w:rPr>
        <w:t>Entrapment is when the government agent or law enforcement officer persuaded an individual to conspirer, and there was no option but to comply. For the case of entrapment to be considered; the defendant must approve that conspiracy idea come from the officer, the defendant must prove that the officer persuaded them to take part, the defendant must also prove that before being persuaded, they have no intention of the crime and being part of the crime.</w:t>
      </w:r>
    </w:p>
    <w:p w:rsidR="00FA25DF" w:rsidRPr="005D1B1E" w:rsidP="005D1B1E" w14:paraId="00029A33" w14:textId="42DFB185">
      <w:pPr>
        <w:spacing w:line="480" w:lineRule="auto"/>
        <w:ind w:firstLine="720"/>
        <w:rPr>
          <w:rFonts w:ascii="Times New Roman" w:hAnsi="Times New Roman" w:cs="Times New Roman"/>
          <w:color w:val="1D1D1D"/>
          <w:sz w:val="24"/>
          <w:szCs w:val="24"/>
          <w:shd w:val="clear" w:color="auto" w:fill="FFFFFF"/>
        </w:rPr>
      </w:pPr>
      <w:r w:rsidRPr="005D1B1E">
        <w:rPr>
          <w:rFonts w:ascii="Times New Roman" w:hAnsi="Times New Roman" w:cs="Times New Roman"/>
          <w:color w:val="1D1D1D"/>
          <w:sz w:val="24"/>
          <w:szCs w:val="24"/>
          <w:shd w:val="clear" w:color="auto" w:fill="FFFFFF"/>
        </w:rPr>
        <w:t>As suggested, there are three types of conspiracy</w:t>
      </w:r>
      <w:r w:rsidRPr="005D1B1E" w:rsidR="00B708F5">
        <w:rPr>
          <w:rFonts w:ascii="Times New Roman" w:hAnsi="Times New Roman" w:cs="Times New Roman"/>
          <w:color w:val="1D1D1D"/>
          <w:sz w:val="24"/>
          <w:szCs w:val="24"/>
          <w:shd w:val="clear" w:color="auto" w:fill="FFFFFF"/>
        </w:rPr>
        <w:t>: spoke conspiracy, chain conspiracy, and enterprise conspiracy</w:t>
      </w:r>
      <w:r w:rsidRPr="005D1B1E" w:rsidR="005D1B1E">
        <w:rPr>
          <w:rFonts w:ascii="Times New Roman" w:hAnsi="Times New Roman" w:cs="Times New Roman"/>
          <w:color w:val="222222"/>
          <w:sz w:val="24"/>
          <w:szCs w:val="24"/>
          <w:shd w:val="clear" w:color="auto" w:fill="FFFFFF"/>
        </w:rPr>
        <w:t xml:space="preserve"> (Douglas al,2019</w:t>
      </w:r>
      <w:r w:rsidRPr="005D1B1E" w:rsidR="005D1B1E">
        <w:rPr>
          <w:rFonts w:ascii="Times New Roman" w:hAnsi="Times New Roman" w:cs="Times New Roman"/>
          <w:color w:val="222222"/>
          <w:sz w:val="24"/>
          <w:szCs w:val="24"/>
          <w:shd w:val="clear" w:color="auto" w:fill="FFFFFF"/>
        </w:rPr>
        <w:t>)</w:t>
      </w:r>
      <w:r w:rsidRPr="005D1B1E">
        <w:rPr>
          <w:rFonts w:ascii="Times New Roman" w:hAnsi="Times New Roman" w:cs="Times New Roman"/>
          <w:color w:val="1D1D1D"/>
          <w:sz w:val="24"/>
          <w:szCs w:val="24"/>
          <w:shd w:val="clear" w:color="auto" w:fill="FFFFFF"/>
        </w:rPr>
        <w:t>.</w:t>
      </w:r>
      <w:r w:rsidRPr="005D1B1E" w:rsidR="00931869">
        <w:rPr>
          <w:rFonts w:ascii="Times New Roman" w:hAnsi="Times New Roman" w:cs="Times New Roman"/>
          <w:color w:val="1D1D1D"/>
          <w:sz w:val="24"/>
          <w:szCs w:val="24"/>
          <w:shd w:val="clear" w:color="auto" w:fill="FFFFFF"/>
        </w:rPr>
        <w:t xml:space="preserve">  Spoke conspiracy involves the recruitment of different groups of co-conspirators and delegate illegal duties. The core conspirators </w:t>
      </w:r>
      <w:r w:rsidRPr="005D1B1E" w:rsidR="007B265B">
        <w:rPr>
          <w:rFonts w:ascii="Times New Roman" w:hAnsi="Times New Roman" w:cs="Times New Roman"/>
          <w:color w:val="1D1D1D"/>
          <w:sz w:val="24"/>
          <w:szCs w:val="24"/>
          <w:shd w:val="clear" w:color="auto" w:fill="FFFFFF"/>
        </w:rPr>
        <w:t>move</w:t>
      </w:r>
      <w:r w:rsidRPr="005D1B1E" w:rsidR="00931869">
        <w:rPr>
          <w:rFonts w:ascii="Times New Roman" w:hAnsi="Times New Roman" w:cs="Times New Roman"/>
          <w:color w:val="1D1D1D"/>
          <w:sz w:val="24"/>
          <w:szCs w:val="24"/>
          <w:shd w:val="clear" w:color="auto" w:fill="FFFFFF"/>
        </w:rPr>
        <w:t xml:space="preserve"> from spoke to delegating functions and the intention of the conspiracy.</w:t>
      </w:r>
      <w:r w:rsidRPr="005D1B1E" w:rsidR="007B265B">
        <w:rPr>
          <w:rFonts w:ascii="Times New Roman" w:hAnsi="Times New Roman" w:cs="Times New Roman"/>
          <w:color w:val="1D1D1D"/>
          <w:sz w:val="24"/>
          <w:szCs w:val="24"/>
          <w:shd w:val="clear" w:color="auto" w:fill="FFFFFF"/>
        </w:rPr>
        <w:t xml:space="preserve"> For the spoke conspiracy to be proven, there must be a "rim" that shows that some forms of overall agreements existed. In a chain conspiracy, all the parties involved know their roles, and they all benefit from carrying out the unlawful roles. For chain conspiracy to be proven, a show of direct contact and explicit agreement must exist between the defendant. The last type of conspiracy is enterprise </w:t>
      </w:r>
      <w:r w:rsidRPr="005D1B1E" w:rsidR="009364F7">
        <w:rPr>
          <w:rFonts w:ascii="Times New Roman" w:hAnsi="Times New Roman" w:cs="Times New Roman"/>
          <w:color w:val="1D1D1D"/>
          <w:sz w:val="24"/>
          <w:szCs w:val="24"/>
          <w:shd w:val="clear" w:color="auto" w:fill="FFFFFF"/>
        </w:rPr>
        <w:t>(RICO</w:t>
      </w:r>
      <w:r w:rsidRPr="005D1B1E" w:rsidR="007B265B">
        <w:rPr>
          <w:rFonts w:ascii="Times New Roman" w:hAnsi="Times New Roman" w:cs="Times New Roman"/>
          <w:color w:val="1D1D1D"/>
          <w:sz w:val="24"/>
          <w:szCs w:val="24"/>
          <w:shd w:val="clear" w:color="auto" w:fill="FFFFFF"/>
        </w:rPr>
        <w:t xml:space="preserve">) conspiracy. Enterprise conspiracy </w:t>
      </w:r>
      <w:r w:rsidRPr="005D1B1E" w:rsidR="009364F7">
        <w:rPr>
          <w:rFonts w:ascii="Times New Roman" w:hAnsi="Times New Roman" w:cs="Times New Roman"/>
          <w:color w:val="1D1D1D"/>
          <w:sz w:val="24"/>
          <w:szCs w:val="24"/>
          <w:shd w:val="clear" w:color="auto" w:fill="FFFFFF"/>
        </w:rPr>
        <w:t>is where conspirators agree to violate the substantive laws of enterprise's affairs. These can happen through a collection of unlawful debt or even taking part in a pattern of racketeering activities.</w:t>
      </w:r>
    </w:p>
    <w:p w:rsidR="00263B34" w:rsidRPr="005D1B1E" w:rsidP="005D1B1E" w14:paraId="7BADFB79" w14:textId="474E7121">
      <w:pPr>
        <w:spacing w:line="480" w:lineRule="auto"/>
        <w:rPr>
          <w:rFonts w:ascii="Times New Roman" w:hAnsi="Times New Roman" w:cs="Times New Roman"/>
          <w:sz w:val="24"/>
          <w:szCs w:val="24"/>
        </w:rPr>
      </w:pPr>
    </w:p>
    <w:p w:rsidR="009364F7" w:rsidRPr="005D1B1E" w:rsidP="005D1B1E" w14:paraId="2756E6D7" w14:textId="4BE29681">
      <w:pPr>
        <w:spacing w:line="480" w:lineRule="auto"/>
        <w:rPr>
          <w:rFonts w:ascii="Times New Roman" w:hAnsi="Times New Roman" w:cs="Times New Roman"/>
          <w:sz w:val="24"/>
          <w:szCs w:val="24"/>
        </w:rPr>
      </w:pPr>
    </w:p>
    <w:p w:rsidR="009364F7" w:rsidP="005D1B1E" w14:paraId="6216514E" w14:textId="126862AD">
      <w:pPr>
        <w:spacing w:line="480" w:lineRule="auto"/>
        <w:rPr>
          <w:rFonts w:ascii="Times New Roman" w:hAnsi="Times New Roman" w:cs="Times New Roman"/>
          <w:sz w:val="24"/>
          <w:szCs w:val="24"/>
        </w:rPr>
      </w:pPr>
    </w:p>
    <w:p w:rsidR="005D1B1E" w:rsidRPr="005D1B1E" w:rsidP="005D1B1E" w14:paraId="499E35FA" w14:textId="77777777">
      <w:pPr>
        <w:spacing w:line="480" w:lineRule="auto"/>
        <w:rPr>
          <w:rFonts w:ascii="Times New Roman" w:hAnsi="Times New Roman" w:cs="Times New Roman"/>
          <w:sz w:val="24"/>
          <w:szCs w:val="24"/>
        </w:rPr>
      </w:pPr>
    </w:p>
    <w:p w:rsidR="009364F7" w:rsidRPr="005D1B1E" w:rsidP="005D1B1E" w14:paraId="07670182" w14:textId="15B19F1D">
      <w:pPr>
        <w:spacing w:line="480" w:lineRule="auto"/>
        <w:rPr>
          <w:rFonts w:ascii="Times New Roman" w:hAnsi="Times New Roman" w:cs="Times New Roman"/>
          <w:sz w:val="24"/>
          <w:szCs w:val="24"/>
        </w:rPr>
      </w:pPr>
    </w:p>
    <w:p w:rsidR="005D1B1E" w:rsidRPr="005D1B1E" w:rsidP="005D1B1E" w14:paraId="59AFE9AD" w14:textId="7EC2F823">
      <w:pPr>
        <w:spacing w:line="480" w:lineRule="auto"/>
        <w:jc w:val="center"/>
        <w:rPr>
          <w:rFonts w:ascii="Times New Roman" w:hAnsi="Times New Roman" w:cs="Times New Roman"/>
          <w:b/>
          <w:bCs/>
          <w:sz w:val="24"/>
          <w:szCs w:val="24"/>
        </w:rPr>
      </w:pPr>
      <w:r w:rsidRPr="005D1B1E">
        <w:rPr>
          <w:rFonts w:ascii="Times New Roman" w:hAnsi="Times New Roman" w:cs="Times New Roman"/>
          <w:b/>
          <w:bCs/>
          <w:sz w:val="24"/>
          <w:szCs w:val="24"/>
        </w:rPr>
        <w:t>Reference</w:t>
      </w:r>
    </w:p>
    <w:p w:rsidR="005D1B1E" w:rsidRPr="005D1B1E" w:rsidP="005D1B1E" w14:paraId="4CA4841D" w14:textId="77777777">
      <w:pPr>
        <w:spacing w:line="480" w:lineRule="auto"/>
        <w:ind w:left="720" w:hanging="720"/>
        <w:rPr>
          <w:rFonts w:ascii="Times New Roman" w:hAnsi="Times New Roman" w:cs="Times New Roman"/>
          <w:color w:val="222222"/>
          <w:sz w:val="24"/>
          <w:szCs w:val="24"/>
          <w:shd w:val="clear" w:color="auto" w:fill="FFFFFF"/>
        </w:rPr>
      </w:pPr>
      <w:r w:rsidRPr="005D1B1E">
        <w:rPr>
          <w:rFonts w:ascii="Times New Roman" w:hAnsi="Times New Roman" w:cs="Times New Roman"/>
          <w:color w:val="222222"/>
          <w:sz w:val="24"/>
          <w:szCs w:val="24"/>
          <w:shd w:val="clear" w:color="auto" w:fill="FFFFFF"/>
        </w:rPr>
        <w:t>Diener, K., &amp; Johnson, T. C. (2005). Federal criminal conspiracy. </w:t>
      </w:r>
      <w:r w:rsidRPr="005D1B1E">
        <w:rPr>
          <w:rFonts w:ascii="Times New Roman" w:hAnsi="Times New Roman" w:cs="Times New Roman"/>
          <w:i/>
          <w:iCs/>
          <w:color w:val="222222"/>
          <w:sz w:val="24"/>
          <w:szCs w:val="24"/>
          <w:shd w:val="clear" w:color="auto" w:fill="FFFFFF"/>
        </w:rPr>
        <w:t>The American Criminal Law Review</w:t>
      </w:r>
      <w:r w:rsidRPr="005D1B1E">
        <w:rPr>
          <w:rFonts w:ascii="Times New Roman" w:hAnsi="Times New Roman" w:cs="Times New Roman"/>
          <w:color w:val="222222"/>
          <w:sz w:val="24"/>
          <w:szCs w:val="24"/>
          <w:shd w:val="clear" w:color="auto" w:fill="FFFFFF"/>
        </w:rPr>
        <w:t>, </w:t>
      </w:r>
      <w:r w:rsidRPr="005D1B1E">
        <w:rPr>
          <w:rFonts w:ascii="Times New Roman" w:hAnsi="Times New Roman" w:cs="Times New Roman"/>
          <w:i/>
          <w:iCs/>
          <w:color w:val="222222"/>
          <w:sz w:val="24"/>
          <w:szCs w:val="24"/>
          <w:shd w:val="clear" w:color="auto" w:fill="FFFFFF"/>
        </w:rPr>
        <w:t>42</w:t>
      </w:r>
      <w:r w:rsidRPr="005D1B1E">
        <w:rPr>
          <w:rFonts w:ascii="Times New Roman" w:hAnsi="Times New Roman" w:cs="Times New Roman"/>
          <w:color w:val="222222"/>
          <w:sz w:val="24"/>
          <w:szCs w:val="24"/>
          <w:shd w:val="clear" w:color="auto" w:fill="FFFFFF"/>
        </w:rPr>
        <w:t>(2), 463.</w:t>
      </w:r>
    </w:p>
    <w:p w:rsidR="005D1B1E" w:rsidRPr="005D1B1E" w:rsidP="005D1B1E" w14:paraId="5E6D2673" w14:textId="77777777">
      <w:pPr>
        <w:spacing w:line="480" w:lineRule="auto"/>
        <w:ind w:left="720" w:hanging="720"/>
        <w:rPr>
          <w:rFonts w:ascii="Times New Roman" w:hAnsi="Times New Roman" w:cs="Times New Roman"/>
          <w:color w:val="222222"/>
          <w:sz w:val="24"/>
          <w:szCs w:val="24"/>
          <w:shd w:val="clear" w:color="auto" w:fill="FFFFFF"/>
        </w:rPr>
      </w:pPr>
      <w:r w:rsidRPr="005D1B1E">
        <w:rPr>
          <w:rFonts w:ascii="Times New Roman" w:hAnsi="Times New Roman" w:cs="Times New Roman"/>
          <w:color w:val="222222"/>
          <w:sz w:val="24"/>
          <w:szCs w:val="24"/>
          <w:shd w:val="clear" w:color="auto" w:fill="FFFFFF"/>
        </w:rPr>
        <w:t xml:space="preserve">Douglas, K. M., Uscinski, J. E., Sutton, R. M., </w:t>
      </w:r>
      <w:r w:rsidRPr="005D1B1E">
        <w:rPr>
          <w:rFonts w:ascii="Times New Roman" w:hAnsi="Times New Roman" w:cs="Times New Roman"/>
          <w:color w:val="222222"/>
          <w:sz w:val="24"/>
          <w:szCs w:val="24"/>
          <w:shd w:val="clear" w:color="auto" w:fill="FFFFFF"/>
        </w:rPr>
        <w:t>Cichocka</w:t>
      </w:r>
      <w:r w:rsidRPr="005D1B1E">
        <w:rPr>
          <w:rFonts w:ascii="Times New Roman" w:hAnsi="Times New Roman" w:cs="Times New Roman"/>
          <w:color w:val="222222"/>
          <w:sz w:val="24"/>
          <w:szCs w:val="24"/>
          <w:shd w:val="clear" w:color="auto" w:fill="FFFFFF"/>
        </w:rPr>
        <w:t xml:space="preserve">, A., </w:t>
      </w:r>
      <w:r w:rsidRPr="005D1B1E">
        <w:rPr>
          <w:rFonts w:ascii="Times New Roman" w:hAnsi="Times New Roman" w:cs="Times New Roman"/>
          <w:color w:val="222222"/>
          <w:sz w:val="24"/>
          <w:szCs w:val="24"/>
          <w:shd w:val="clear" w:color="auto" w:fill="FFFFFF"/>
        </w:rPr>
        <w:t>Nefes</w:t>
      </w:r>
      <w:r w:rsidRPr="005D1B1E">
        <w:rPr>
          <w:rFonts w:ascii="Times New Roman" w:hAnsi="Times New Roman" w:cs="Times New Roman"/>
          <w:color w:val="222222"/>
          <w:sz w:val="24"/>
          <w:szCs w:val="24"/>
          <w:shd w:val="clear" w:color="auto" w:fill="FFFFFF"/>
        </w:rPr>
        <w:t xml:space="preserve">, T., Ang, C. S., &amp; </w:t>
      </w:r>
      <w:r w:rsidRPr="005D1B1E">
        <w:rPr>
          <w:rFonts w:ascii="Times New Roman" w:hAnsi="Times New Roman" w:cs="Times New Roman"/>
          <w:color w:val="222222"/>
          <w:sz w:val="24"/>
          <w:szCs w:val="24"/>
          <w:shd w:val="clear" w:color="auto" w:fill="FFFFFF"/>
        </w:rPr>
        <w:t>Deravi</w:t>
      </w:r>
      <w:r w:rsidRPr="005D1B1E">
        <w:rPr>
          <w:rFonts w:ascii="Times New Roman" w:hAnsi="Times New Roman" w:cs="Times New Roman"/>
          <w:color w:val="222222"/>
          <w:sz w:val="24"/>
          <w:szCs w:val="24"/>
          <w:shd w:val="clear" w:color="auto" w:fill="FFFFFF"/>
        </w:rPr>
        <w:t>, F. (2019). Understanding conspiracy theories. </w:t>
      </w:r>
      <w:r w:rsidRPr="005D1B1E">
        <w:rPr>
          <w:rFonts w:ascii="Times New Roman" w:hAnsi="Times New Roman" w:cs="Times New Roman"/>
          <w:i/>
          <w:iCs/>
          <w:color w:val="222222"/>
          <w:sz w:val="24"/>
          <w:szCs w:val="24"/>
          <w:shd w:val="clear" w:color="auto" w:fill="FFFFFF"/>
        </w:rPr>
        <w:t>Political Psychology</w:t>
      </w:r>
      <w:r w:rsidRPr="005D1B1E">
        <w:rPr>
          <w:rFonts w:ascii="Times New Roman" w:hAnsi="Times New Roman" w:cs="Times New Roman"/>
          <w:color w:val="222222"/>
          <w:sz w:val="24"/>
          <w:szCs w:val="24"/>
          <w:shd w:val="clear" w:color="auto" w:fill="FFFFFF"/>
        </w:rPr>
        <w:t>, </w:t>
      </w:r>
      <w:r w:rsidRPr="005D1B1E">
        <w:rPr>
          <w:rFonts w:ascii="Times New Roman" w:hAnsi="Times New Roman" w:cs="Times New Roman"/>
          <w:i/>
          <w:iCs/>
          <w:color w:val="222222"/>
          <w:sz w:val="24"/>
          <w:szCs w:val="24"/>
          <w:shd w:val="clear" w:color="auto" w:fill="FFFFFF"/>
        </w:rPr>
        <w:t>40</w:t>
      </w:r>
      <w:r w:rsidRPr="005D1B1E">
        <w:rPr>
          <w:rFonts w:ascii="Times New Roman" w:hAnsi="Times New Roman" w:cs="Times New Roman"/>
          <w:color w:val="222222"/>
          <w:sz w:val="24"/>
          <w:szCs w:val="24"/>
          <w:shd w:val="clear" w:color="auto" w:fill="FFFFFF"/>
        </w:rPr>
        <w:t>, 3-35.</w:t>
      </w:r>
    </w:p>
    <w:p w:rsidR="005D1B1E" w:rsidRPr="005D1B1E" w:rsidP="005D1B1E" w14:paraId="1C68E26C" w14:textId="77777777">
      <w:pPr>
        <w:spacing w:line="480" w:lineRule="auto"/>
        <w:ind w:left="720" w:hanging="720"/>
        <w:rPr>
          <w:rFonts w:ascii="Times New Roman" w:hAnsi="Times New Roman" w:cs="Times New Roman"/>
          <w:sz w:val="24"/>
          <w:szCs w:val="24"/>
        </w:rPr>
      </w:pPr>
      <w:r w:rsidRPr="005D1B1E">
        <w:rPr>
          <w:rFonts w:ascii="Times New Roman" w:hAnsi="Times New Roman" w:cs="Times New Roman"/>
          <w:color w:val="222222"/>
          <w:sz w:val="24"/>
          <w:szCs w:val="24"/>
          <w:shd w:val="clear" w:color="auto" w:fill="FFFFFF"/>
        </w:rPr>
        <w:t>Van der Wilt, H. (2007). Joint criminal enterprise: Possibilities and limitations. </w:t>
      </w:r>
      <w:r w:rsidRPr="005D1B1E">
        <w:rPr>
          <w:rFonts w:ascii="Times New Roman" w:hAnsi="Times New Roman" w:cs="Times New Roman"/>
          <w:i/>
          <w:iCs/>
          <w:color w:val="222222"/>
          <w:sz w:val="24"/>
          <w:szCs w:val="24"/>
          <w:shd w:val="clear" w:color="auto" w:fill="FFFFFF"/>
        </w:rPr>
        <w:t>Journal of International Criminal Justice</w:t>
      </w:r>
      <w:r w:rsidRPr="005D1B1E">
        <w:rPr>
          <w:rFonts w:ascii="Times New Roman" w:hAnsi="Times New Roman" w:cs="Times New Roman"/>
          <w:color w:val="222222"/>
          <w:sz w:val="24"/>
          <w:szCs w:val="24"/>
          <w:shd w:val="clear" w:color="auto" w:fill="FFFFFF"/>
        </w:rPr>
        <w:t>, </w:t>
      </w:r>
      <w:r w:rsidRPr="005D1B1E">
        <w:rPr>
          <w:rFonts w:ascii="Times New Roman" w:hAnsi="Times New Roman" w:cs="Times New Roman"/>
          <w:i/>
          <w:iCs/>
          <w:color w:val="222222"/>
          <w:sz w:val="24"/>
          <w:szCs w:val="24"/>
          <w:shd w:val="clear" w:color="auto" w:fill="FFFFFF"/>
        </w:rPr>
        <w:t>5</w:t>
      </w:r>
      <w:r w:rsidRPr="005D1B1E">
        <w:rPr>
          <w:rFonts w:ascii="Times New Roman" w:hAnsi="Times New Roman" w:cs="Times New Roman"/>
          <w:color w:val="222222"/>
          <w:sz w:val="24"/>
          <w:szCs w:val="24"/>
          <w:shd w:val="clear" w:color="auto" w:fill="FFFFFF"/>
        </w:rPr>
        <w:t>(1), 91-108.</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993418"/>
      <w:docPartObj>
        <w:docPartGallery w:val="Page Numbers (Top of Page)"/>
        <w:docPartUnique/>
      </w:docPartObj>
    </w:sdtPr>
    <w:sdtEndPr>
      <w:rPr>
        <w:noProof/>
      </w:rPr>
    </w:sdtEndPr>
    <w:sdtContent>
      <w:p w:rsidR="005D1B1E" w14:paraId="5B439A19" w14:textId="5D98D0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D1B1E" w14:paraId="3D677F7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FD"/>
    <w:rsid w:val="00003CA5"/>
    <w:rsid w:val="00263B34"/>
    <w:rsid w:val="004368FD"/>
    <w:rsid w:val="005D1B1E"/>
    <w:rsid w:val="007B265B"/>
    <w:rsid w:val="008A2A6D"/>
    <w:rsid w:val="008B499A"/>
    <w:rsid w:val="00931869"/>
    <w:rsid w:val="009364F7"/>
    <w:rsid w:val="00A06327"/>
    <w:rsid w:val="00B708F5"/>
    <w:rsid w:val="00CA5CC5"/>
    <w:rsid w:val="00D4492E"/>
    <w:rsid w:val="00FA25D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21FAF4"/>
  <w15:chartTrackingRefBased/>
  <w15:docId w15:val="{AAC6EA84-B668-4D41-B1BA-76CF41AF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B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B1E"/>
  </w:style>
  <w:style w:type="paragraph" w:styleId="Footer">
    <w:name w:val="footer"/>
    <w:basedOn w:val="Normal"/>
    <w:link w:val="FooterChar"/>
    <w:uiPriority w:val="99"/>
    <w:unhideWhenUsed/>
    <w:rsid w:val="005D1B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1</cp:revision>
  <dcterms:created xsi:type="dcterms:W3CDTF">2021-08-13T09:28:00Z</dcterms:created>
  <dcterms:modified xsi:type="dcterms:W3CDTF">2021-08-13T12:12:00Z</dcterms:modified>
</cp:coreProperties>
</file>